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F42" w:rsidRPr="00F81B9E" w:rsidTr="00AC6FF9">
        <w:tc>
          <w:tcPr>
            <w:tcW w:w="9212" w:type="dxa"/>
            <w:shd w:val="clear" w:color="auto" w:fill="31849B" w:themeFill="accent5" w:themeFillShade="BF"/>
          </w:tcPr>
          <w:p w:rsidR="00AC6FF9" w:rsidRDefault="00513F42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t xml:space="preserve">       </w:t>
            </w:r>
          </w:p>
          <w:p w:rsidR="00513F42" w:rsidRPr="00AC6FF9" w:rsidRDefault="00513F42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6F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ZAKOŃCZENIE BUDOWY</w:t>
            </w:r>
          </w:p>
          <w:p w:rsidR="00AC6FF9" w:rsidRPr="00F81B9E" w:rsidRDefault="00AC6FF9" w:rsidP="00AC6FF9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2B3462" w:rsidRDefault="002B3462" w:rsidP="002B3462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B3462" w:rsidRDefault="002B3462" w:rsidP="002B3462">
      <w:pPr>
        <w:spacing w:after="0" w:line="240" w:lineRule="auto"/>
        <w:ind w:left="709" w:hanging="349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B3462" w:rsidRPr="00E441DE" w:rsidRDefault="002B3462" w:rsidP="002B346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E441DE">
        <w:rPr>
          <w:rFonts w:ascii="Arial" w:eastAsia="Times New Roman" w:hAnsi="Arial" w:cs="Arial"/>
          <w:b/>
          <w:bCs/>
          <w:lang w:eastAsia="pl-PL"/>
        </w:rPr>
        <w:t>Do zawiadomienia należy dołączyć:</w:t>
      </w:r>
    </w:p>
    <w:p w:rsidR="002B3462" w:rsidRPr="007E4230" w:rsidRDefault="002B3462" w:rsidP="002B3462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Do zawiadomienia organu nadzoru budowlanego o zamierzonym terminie rozpoczęcia robót budowlanych inwestor dołącza:</w:t>
      </w:r>
    </w:p>
    <w:p w:rsidR="002B3462" w:rsidRDefault="002B3462" w:rsidP="002B3462">
      <w:pPr>
        <w:numPr>
          <w:ilvl w:val="0"/>
          <w:numId w:val="42"/>
        </w:numPr>
        <w:tabs>
          <w:tab w:val="clear" w:pos="1068"/>
          <w:tab w:val="num" w:pos="284"/>
          <w:tab w:val="num" w:pos="1428"/>
        </w:tabs>
        <w:spacing w:after="0" w:line="240" w:lineRule="auto"/>
        <w:ind w:left="-142" w:firstLine="0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>informację wskazującą imiona i nazwiska osób</w:t>
      </w:r>
      <w:r>
        <w:rPr>
          <w:rFonts w:ascii="Arial" w:eastAsia="Times New Roman" w:hAnsi="Arial" w:cs="Arial"/>
          <w:lang w:eastAsia="pl-PL"/>
        </w:rPr>
        <w:t>, które będą sprawować funkcję:</w:t>
      </w:r>
    </w:p>
    <w:p w:rsidR="002B3462" w:rsidRDefault="002B3462" w:rsidP="002B3462">
      <w:pPr>
        <w:pStyle w:val="Akapitzlist"/>
        <w:numPr>
          <w:ilvl w:val="0"/>
          <w:numId w:val="43"/>
        </w:numPr>
        <w:spacing w:after="0" w:line="240" w:lineRule="auto"/>
        <w:ind w:left="-142" w:firstLine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kierownika budowy,</w:t>
      </w:r>
    </w:p>
    <w:p w:rsidR="002B3462" w:rsidRPr="00E441DE" w:rsidRDefault="002B3462" w:rsidP="002B3462">
      <w:pPr>
        <w:pStyle w:val="Akapitzlist"/>
        <w:numPr>
          <w:ilvl w:val="0"/>
          <w:numId w:val="4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E441DE">
        <w:rPr>
          <w:rFonts w:ascii="Arial" w:eastAsia="Times New Roman" w:hAnsi="Arial" w:cs="Arial"/>
          <w:lang w:eastAsia="pl-PL"/>
        </w:rPr>
        <w:t xml:space="preserve">inspektora nadzoru inwestorskiego - jeżeli został on ustanowiony - oraz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E441DE">
        <w:rPr>
          <w:rFonts w:ascii="Arial" w:eastAsia="Times New Roman" w:hAnsi="Arial" w:cs="Arial"/>
          <w:lang w:eastAsia="pl-PL"/>
        </w:rPr>
        <w:t>w odniesieniu do tych osób dołącza kopie zaświadczeń o wpisie na listę właściwej izby samorządu zawodowego, wraz z kopiami decyzji o nadaniu uprawnień budowlanych w odpowiedniej specjalności,</w:t>
      </w:r>
    </w:p>
    <w:p w:rsidR="002B3462" w:rsidRPr="002B3462" w:rsidRDefault="002B3462" w:rsidP="00513F42">
      <w:pPr>
        <w:numPr>
          <w:ilvl w:val="0"/>
          <w:numId w:val="42"/>
        </w:numPr>
        <w:tabs>
          <w:tab w:val="clear" w:pos="1068"/>
          <w:tab w:val="num" w:pos="284"/>
          <w:tab w:val="num" w:pos="1428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E4230">
        <w:rPr>
          <w:rFonts w:ascii="Arial" w:eastAsia="Times New Roman" w:hAnsi="Arial" w:cs="Arial"/>
          <w:lang w:eastAsia="pl-PL"/>
        </w:rPr>
        <w:t xml:space="preserve">oświadczenie lub kopię oświadczenia projektanta i projektanta sprawdzającego </w:t>
      </w:r>
      <w:r>
        <w:rPr>
          <w:rFonts w:ascii="Arial" w:eastAsia="Times New Roman" w:hAnsi="Arial" w:cs="Arial"/>
          <w:lang w:eastAsia="pl-PL"/>
        </w:rPr>
        <w:t xml:space="preserve">               </w:t>
      </w:r>
      <w:r w:rsidRPr="007E4230">
        <w:rPr>
          <w:rFonts w:ascii="Arial" w:eastAsia="Times New Roman" w:hAnsi="Arial" w:cs="Arial"/>
          <w:lang w:eastAsia="pl-PL"/>
        </w:rPr>
        <w:t>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:rsidR="00513F42" w:rsidRPr="00F81B9E" w:rsidRDefault="00513F42" w:rsidP="00513F42">
      <w:pPr>
        <w:pStyle w:val="NormalnyWeb"/>
        <w:jc w:val="both"/>
        <w:rPr>
          <w:rFonts w:ascii="Arial" w:hAnsi="Arial" w:cs="Arial"/>
          <w:sz w:val="22"/>
          <w:szCs w:val="22"/>
          <w:u w:val="single"/>
        </w:rPr>
      </w:pPr>
      <w:r w:rsidRPr="00F81B9E">
        <w:rPr>
          <w:rFonts w:ascii="Arial" w:hAnsi="Arial" w:cs="Arial"/>
          <w:sz w:val="22"/>
          <w:szCs w:val="22"/>
          <w:u w:val="single"/>
        </w:rPr>
        <w:t xml:space="preserve">Zawiadomienie o zakończeniu budowy można zakończyć  w formie </w:t>
      </w:r>
    </w:p>
    <w:p w:rsidR="00513F42" w:rsidRPr="00E518D2" w:rsidRDefault="00513F42" w:rsidP="00E518D2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349"/>
        <w:rPr>
          <w:rStyle w:val="Pogrubienie"/>
          <w:rFonts w:ascii="Arial" w:hAnsi="Arial" w:cs="Arial"/>
          <w:color w:val="008000"/>
          <w:sz w:val="22"/>
          <w:szCs w:val="22"/>
        </w:rPr>
      </w:pPr>
      <w:r w:rsidRPr="00E518D2">
        <w:rPr>
          <w:rStyle w:val="Pogrubienie"/>
          <w:rFonts w:ascii="Arial" w:hAnsi="Arial" w:cs="Arial"/>
          <w:color w:val="008000"/>
          <w:sz w:val="22"/>
          <w:szCs w:val="22"/>
        </w:rPr>
        <w:t>zawiadomienia o zak</w:t>
      </w:r>
      <w:bookmarkStart w:id="0" w:name="_GoBack"/>
      <w:bookmarkEnd w:id="0"/>
      <w:r w:rsidRPr="00E518D2">
        <w:rPr>
          <w:rStyle w:val="Pogrubienie"/>
          <w:rFonts w:ascii="Arial" w:hAnsi="Arial" w:cs="Arial"/>
          <w:color w:val="008000"/>
          <w:sz w:val="22"/>
          <w:szCs w:val="22"/>
        </w:rPr>
        <w:t>ończeniu robót budowlanych do Powiatowego Inspektora Nadzoru Budowlanego w</w:t>
      </w:r>
      <w:r w:rsidR="00216248" w:rsidRPr="00E518D2">
        <w:rPr>
          <w:rStyle w:val="Pogrubienie"/>
          <w:rFonts w:ascii="Arial" w:hAnsi="Arial" w:cs="Arial"/>
          <w:color w:val="008000"/>
          <w:sz w:val="22"/>
          <w:szCs w:val="22"/>
        </w:rPr>
        <w:t xml:space="preserve"> Policach</w:t>
      </w:r>
      <w:r w:rsidRPr="00E518D2">
        <w:rPr>
          <w:rStyle w:val="Pogrubienie"/>
          <w:rFonts w:ascii="Arial" w:hAnsi="Arial" w:cs="Arial"/>
          <w:color w:val="008000"/>
          <w:sz w:val="22"/>
          <w:szCs w:val="22"/>
        </w:rPr>
        <w:t xml:space="preserve"> wraz z kompletem wymaganych dokumentów,</w:t>
      </w:r>
    </w:p>
    <w:p w:rsidR="00513F42" w:rsidRPr="00F81B9E" w:rsidRDefault="00513F42" w:rsidP="00513F42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81B9E">
        <w:rPr>
          <w:rStyle w:val="Pogrubienie"/>
          <w:rFonts w:ascii="Arial" w:hAnsi="Arial" w:cs="Arial"/>
          <w:color w:val="FF0000"/>
          <w:sz w:val="22"/>
          <w:szCs w:val="22"/>
        </w:rPr>
        <w:t xml:space="preserve">wniosku do Powiatowego Inspektora Nadzoru Budowlanego w </w:t>
      </w:r>
      <w:r w:rsidR="00216248" w:rsidRPr="00F81B9E">
        <w:rPr>
          <w:rStyle w:val="Pogrubienie"/>
          <w:rFonts w:ascii="Arial" w:hAnsi="Arial" w:cs="Arial"/>
          <w:color w:val="FF0000"/>
          <w:sz w:val="22"/>
          <w:szCs w:val="22"/>
        </w:rPr>
        <w:t xml:space="preserve">Policach </w:t>
      </w:r>
      <w:r w:rsidR="00F028EC">
        <w:rPr>
          <w:rStyle w:val="Pogrubienie"/>
          <w:rFonts w:ascii="Arial" w:hAnsi="Arial" w:cs="Arial"/>
          <w:color w:val="FF0000"/>
          <w:sz w:val="22"/>
          <w:szCs w:val="22"/>
        </w:rPr>
        <w:t xml:space="preserve">                     </w:t>
      </w:r>
      <w:r w:rsidRPr="00F81B9E">
        <w:rPr>
          <w:rStyle w:val="Pogrubienie"/>
          <w:rFonts w:ascii="Arial" w:hAnsi="Arial" w:cs="Arial"/>
          <w:color w:val="FF0000"/>
          <w:sz w:val="22"/>
          <w:szCs w:val="22"/>
        </w:rPr>
        <w:t>o pozwoleni</w:t>
      </w:r>
      <w:r w:rsidR="00216248" w:rsidRPr="00F81B9E">
        <w:rPr>
          <w:rStyle w:val="Pogrubienie"/>
          <w:rFonts w:ascii="Arial" w:hAnsi="Arial" w:cs="Arial"/>
          <w:color w:val="FF0000"/>
          <w:sz w:val="22"/>
          <w:szCs w:val="22"/>
        </w:rPr>
        <w:t>u</w:t>
      </w:r>
      <w:r w:rsidRPr="00F81B9E">
        <w:rPr>
          <w:rStyle w:val="Pogrubienie"/>
          <w:rFonts w:ascii="Arial" w:hAnsi="Arial" w:cs="Arial"/>
          <w:color w:val="FF0000"/>
          <w:sz w:val="22"/>
          <w:szCs w:val="22"/>
        </w:rPr>
        <w:t xml:space="preserve"> na użytkowanie wraz z kompletem wymaganych dokumentów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73"/>
        <w:gridCol w:w="3367"/>
        <w:gridCol w:w="1197"/>
        <w:gridCol w:w="3651"/>
      </w:tblGrid>
      <w:tr w:rsidR="00216248" w:rsidRPr="00216248" w:rsidTr="00F028EC">
        <w:trPr>
          <w:trHeight w:val="547"/>
        </w:trPr>
        <w:tc>
          <w:tcPr>
            <w:tcW w:w="4440" w:type="dxa"/>
            <w:gridSpan w:val="2"/>
            <w:shd w:val="clear" w:color="auto" w:fill="EEECE1" w:themeFill="background2"/>
          </w:tcPr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hAnsi="Arial" w:cs="Arial"/>
                <w:color w:val="008000"/>
                <w:sz w:val="20"/>
                <w:szCs w:val="20"/>
              </w:rPr>
              <w:t> </w:t>
            </w: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ZAWIADOMIENIE</w:t>
            </w:r>
            <w:r w:rsidRPr="00E518D2">
              <w:rPr>
                <w:rFonts w:ascii="Arial" w:hAnsi="Arial" w:cs="Arial"/>
                <w:color w:val="008000"/>
                <w:sz w:val="20"/>
                <w:szCs w:val="20"/>
              </w:rPr>
              <w:t> -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 xml:space="preserve">Do użytkowania obiektu budowlanego, można przystąpić, 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jeżeli organ nadzoru budowlanego,</w:t>
            </w:r>
            <w:r w:rsidR="00FD03E7"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 xml:space="preserve">                 </w:t>
            </w: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 xml:space="preserve"> w terminie 14 dni 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od dnia doręczenia</w:t>
            </w:r>
            <w:r w:rsidRPr="00E518D2"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 xml:space="preserve">zawiadomienia, 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nie zgłosi sprzeciwu w drodze decyzji.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 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DOTYCZY OBIEKTÓW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008000"/>
                <w:sz w:val="20"/>
                <w:szCs w:val="20"/>
              </w:rPr>
              <w:t>WYMIENIONYCH PONIŻEJ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</w:pP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  <w:t>WNIOSEK</w:t>
            </w:r>
            <w:r w:rsidRPr="00E518D2">
              <w:rPr>
                <w:rFonts w:ascii="Arial" w:hAnsi="Arial" w:cs="Arial"/>
                <w:color w:val="FF0000"/>
                <w:sz w:val="20"/>
                <w:szCs w:val="20"/>
              </w:rPr>
              <w:t> -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18D2">
              <w:rPr>
                <w:rFonts w:ascii="Arial" w:hAnsi="Arial" w:cs="Arial"/>
                <w:b/>
                <w:color w:val="FF0000"/>
                <w:sz w:val="20"/>
                <w:szCs w:val="20"/>
              </w:rPr>
              <w:t>Przed przystąpieniem do użytkowania obiektu budowlanego należy uzyskać decyzję o pozwoleniu na użytkowanie.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3E7" w:rsidRPr="00E518D2" w:rsidRDefault="00216248" w:rsidP="00E518D2">
            <w:pPr>
              <w:pStyle w:val="NormalnyWeb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8D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  <w:t>DOTYCZY OBIEKTÓW</w:t>
            </w:r>
          </w:p>
          <w:p w:rsidR="00216248" w:rsidRPr="00E518D2" w:rsidRDefault="00216248" w:rsidP="00E518D2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</w:pPr>
            <w:r w:rsidRPr="00E518D2">
              <w:rPr>
                <w:rStyle w:val="Pogrubienie"/>
                <w:rFonts w:ascii="Arial" w:hAnsi="Arial" w:cs="Arial"/>
                <w:color w:val="FF0000"/>
                <w:sz w:val="20"/>
                <w:szCs w:val="20"/>
              </w:rPr>
              <w:t>WYMIENIONYCH PONIŻEJ</w:t>
            </w:r>
          </w:p>
          <w:p w:rsidR="00216248" w:rsidRPr="00E518D2" w:rsidRDefault="00216248" w:rsidP="00E51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73" w:rsidRPr="00216248" w:rsidTr="00E518D2">
        <w:trPr>
          <w:trHeight w:val="87"/>
        </w:trPr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518D2"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  <w:t>budynki mieszkalne jednorodzinne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67" w:type="dxa"/>
          </w:tcPr>
          <w:p w:rsidR="00A85D73" w:rsidRPr="00E518D2" w:rsidRDefault="00A85D73" w:rsidP="00E518D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518D2"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  <w:t>budynki służące gospodarce rolnej, jak: produkcyjne, gospodarcze, inwentarsko-składowe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518D2"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  <w:t>inne niewielkie budynki, jak: domy letniskowe, budynki gospodarcze, garaże do dwóch stanowisk włącznie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367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elementy dróg publicznych </w:t>
            </w:r>
            <w:r w:rsidR="00FD03E7"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                       </w:t>
            </w: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i kolejowych dróg szynowych, jak: skrzyżowania i węzły, wjazdy, zjazdy, przejazdy, perony, ramp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obiekty sportu i rekreacji, jak: stadiony, amfiteatry, skocznie i wyciągi narciarskie, kolejki linowe, odkryte baseny, zjeżdżalnie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367" w:type="dxa"/>
          </w:tcPr>
          <w:tbl>
            <w:tblPr>
              <w:tblW w:w="398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2504"/>
            </w:tblGrid>
            <w:tr w:rsidR="007F24C7" w:rsidRPr="00E518D2" w:rsidTr="00216248">
              <w:trPr>
                <w:tblCellSpacing w:w="0" w:type="dxa"/>
              </w:trPr>
              <w:tc>
                <w:tcPr>
                  <w:tcW w:w="1479" w:type="dxa"/>
                  <w:hideMark/>
                </w:tcPr>
                <w:p w:rsidR="007F24C7" w:rsidRPr="00E518D2" w:rsidRDefault="00216248" w:rsidP="00E518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</w:pPr>
                  <w:r w:rsidRPr="00E518D2"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  <w:t>cmentarze</w:t>
                  </w:r>
                </w:p>
              </w:tc>
              <w:tc>
                <w:tcPr>
                  <w:tcW w:w="2504" w:type="dxa"/>
                  <w:hideMark/>
                </w:tcPr>
                <w:p w:rsidR="007F24C7" w:rsidRPr="00E518D2" w:rsidRDefault="007F24C7" w:rsidP="00E518D2">
                  <w:pPr>
                    <w:spacing w:after="0" w:line="240" w:lineRule="auto"/>
                    <w:ind w:left="490"/>
                    <w:jc w:val="both"/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3F3F1"/>
          </w:tcPr>
          <w:p w:rsidR="00A85D73" w:rsidRDefault="00A85D73" w:rsidP="00E51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18D2" w:rsidRPr="00E518D2" w:rsidRDefault="00E518D2" w:rsidP="00E51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VII</w:t>
            </w:r>
          </w:p>
        </w:tc>
        <w:tc>
          <w:tcPr>
            <w:tcW w:w="3367" w:type="dxa"/>
          </w:tcPr>
          <w:p w:rsidR="00A85D73" w:rsidRPr="00E518D2" w:rsidRDefault="007F24C7" w:rsidP="00E518D2">
            <w:pPr>
              <w:jc w:val="both"/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</w:pPr>
            <w:r w:rsidRPr="00E518D2"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  <w:lastRenderedPageBreak/>
              <w:t xml:space="preserve">obiekty służące nawigacji wodnej, jak: </w:t>
            </w:r>
            <w:r w:rsidRPr="00E518D2"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  <w:lastRenderedPageBreak/>
              <w:t>dalby, wysepki cumownicze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3367" w:type="dxa"/>
          </w:tcPr>
          <w:tbl>
            <w:tblPr>
              <w:tblW w:w="35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2491"/>
            </w:tblGrid>
            <w:tr w:rsidR="00216248" w:rsidRPr="00E518D2" w:rsidTr="00831394">
              <w:trPr>
                <w:tblCellSpacing w:w="0" w:type="dxa"/>
              </w:trPr>
              <w:tc>
                <w:tcPr>
                  <w:tcW w:w="1054" w:type="dxa"/>
                  <w:hideMark/>
                </w:tcPr>
                <w:p w:rsidR="007F24C7" w:rsidRPr="00E518D2" w:rsidRDefault="007F24C7" w:rsidP="00E518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</w:pPr>
                  <w:r w:rsidRPr="00E518D2"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  <w:t xml:space="preserve">Inne </w:t>
                  </w:r>
                  <w:r w:rsidR="00FD03E7" w:rsidRPr="00E518D2"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  <w:t>budow</w:t>
                  </w:r>
                  <w:r w:rsidR="00831394" w:rsidRPr="00E518D2"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  <w:t>l</w:t>
                  </w:r>
                  <w:r w:rsidRPr="00E518D2"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2491" w:type="dxa"/>
                  <w:hideMark/>
                </w:tcPr>
                <w:p w:rsidR="007F24C7" w:rsidRPr="00E518D2" w:rsidRDefault="007F24C7" w:rsidP="00E518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8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800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A85D73" w:rsidRPr="00E518D2" w:rsidRDefault="00A85D73" w:rsidP="00E518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 </w:t>
            </w:r>
            <w:r w:rsidRPr="00E518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kultury, nauki i oświaty, jak: teatry, opery, kina, muzea, galerie sztuki, biblioteki, archiwa, domy kultury, budynki szkolne</w:t>
            </w:r>
            <w:r w:rsidR="00FD03E7"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, przedszkolne,   żłobki, kluby dziecięce, internaty,  </w:t>
            </w: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bursy i domy studenckie, laboratoria i placówki badawcze, stacje meteorologiczne</w:t>
            </w:r>
            <w:r w:rsidR="00FD03E7"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,</w:t>
            </w:r>
            <w:r w:rsid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hydrologiczne, obserwatoria, budynki ogrodów zoologicznych i botanicznych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EF13CA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A85D73" w:rsidRPr="00E518D2" w:rsidRDefault="00A85D73" w:rsidP="00E51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8D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51" w:type="dxa"/>
          </w:tcPr>
          <w:tbl>
            <w:tblPr>
              <w:tblW w:w="355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539"/>
            </w:tblGrid>
            <w:tr w:rsidR="00A85D73" w:rsidRPr="00E518D2" w:rsidTr="00216248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85D73" w:rsidRPr="00E518D2" w:rsidRDefault="00A85D73" w:rsidP="00E518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539" w:type="dxa"/>
                  <w:vAlign w:val="center"/>
                  <w:hideMark/>
                </w:tcPr>
                <w:p w:rsidR="00A85D73" w:rsidRPr="00E518D2" w:rsidRDefault="00FD03E7" w:rsidP="00E518D2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518D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/>
                    </w:rPr>
                    <w:t>budynki kultu religijnego, jak: kościoły, kaplice, klasztory, cerkwie, zbory, synagogi, meczety oraz domy pogrzebowe, krematoria</w:t>
                  </w:r>
                </w:p>
              </w:tc>
            </w:tr>
          </w:tbl>
          <w:p w:rsidR="00A85D73" w:rsidRPr="00E518D2" w:rsidRDefault="00A85D73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D73" w:rsidRPr="00E518D2">
              <w:rPr>
                <w:rFonts w:ascii="Arial" w:hAnsi="Arial" w:cs="Arial"/>
                <w:b/>
                <w:sz w:val="20"/>
                <w:szCs w:val="20"/>
              </w:rPr>
              <w:t>XI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budynki służby zdrowia, opieki społecznej </w:t>
            </w:r>
            <w:r w:rsid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i socjalnej, jak: szpitale, sanatoria, hospicja, przychodnie, poradnie, stacje krwiodawstwa, lecznice weterynaryjne, domy pomocy i opieki społecznej, domy dziecka, domy rencisty, schroniska dla bezdomnych oraz hotele robotnicze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D73" w:rsidRPr="00E518D2">
              <w:rPr>
                <w:rFonts w:ascii="Arial" w:hAnsi="Arial" w:cs="Arial"/>
                <w:b/>
                <w:sz w:val="20"/>
                <w:szCs w:val="20"/>
              </w:rPr>
              <w:t>XII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administracji publicznej, budynki Sejmu, Senatu, Kancelarii Prezydenta, ministerstw i urzędów centralnych, terenowej administracji rządowej i samorządowej, sądów</w:t>
            </w:r>
            <w:r w:rsidR="00216248"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i trybunatów, więzień i domów poprawczych, zakładów dla nieletnich, zakładów karnych, aresztów śledczych oraz obiekty budowlane Sił Zbrojnych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D73" w:rsidRPr="00E518D2">
              <w:rPr>
                <w:rFonts w:ascii="Arial" w:hAnsi="Arial" w:cs="Arial"/>
                <w:b/>
                <w:sz w:val="20"/>
                <w:szCs w:val="20"/>
              </w:rPr>
              <w:t>XIII</w:t>
            </w:r>
          </w:p>
        </w:tc>
        <w:tc>
          <w:tcPr>
            <w:tcW w:w="3651" w:type="dxa"/>
          </w:tcPr>
          <w:p w:rsidR="00A85D73" w:rsidRPr="00E518D2" w:rsidRDefault="00E159E6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</w:rPr>
              <w:t>Pozostałe budynki mieszkalne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D73" w:rsidRPr="00E518D2">
              <w:rPr>
                <w:rFonts w:ascii="Arial" w:hAnsi="Arial" w:cs="Arial"/>
                <w:b/>
                <w:sz w:val="20"/>
                <w:szCs w:val="20"/>
              </w:rPr>
              <w:t>XIV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budynki zakwaterowania turystycznego </w:t>
            </w:r>
            <w:r w:rsid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i rekreacyjnego, jak: hotele, motele, pensjonaty, domy wypoczynkowe, schroniska turystyczne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D73" w:rsidRPr="00E518D2"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sportu i rekreacji, jak: hale sportowe i widowiskowe, kryte baseny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FFFFFF" w:themeFill="background1"/>
          </w:tcPr>
          <w:p w:rsidR="00A85D73" w:rsidRPr="00E518D2" w:rsidRDefault="00A85D73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E518D2">
              <w:rPr>
                <w:rFonts w:ascii="Arial" w:hAnsi="Arial" w:cs="Arial"/>
                <w:b/>
                <w:sz w:val="20"/>
                <w:szCs w:val="20"/>
              </w:rPr>
              <w:t>XVI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biurowe i konferencyjne</w:t>
            </w:r>
          </w:p>
        </w:tc>
      </w:tr>
      <w:tr w:rsidR="00A85D73" w:rsidRPr="00216248" w:rsidTr="00F028EC">
        <w:tc>
          <w:tcPr>
            <w:tcW w:w="1073" w:type="dxa"/>
            <w:shd w:val="clear" w:color="auto" w:fill="EEECE1" w:themeFill="background2"/>
          </w:tcPr>
          <w:p w:rsidR="00216248" w:rsidRPr="00E518D2" w:rsidRDefault="00216248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A85D73" w:rsidRPr="00E518D2" w:rsidRDefault="00E159E6" w:rsidP="00E51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8D2">
              <w:rPr>
                <w:rFonts w:ascii="Arial" w:hAnsi="Arial" w:cs="Arial"/>
                <w:b/>
                <w:sz w:val="20"/>
                <w:szCs w:val="20"/>
              </w:rPr>
              <w:t>XVII</w:t>
            </w:r>
          </w:p>
        </w:tc>
        <w:tc>
          <w:tcPr>
            <w:tcW w:w="3367" w:type="dxa"/>
          </w:tcPr>
          <w:p w:rsidR="00A85D73" w:rsidRPr="00E518D2" w:rsidRDefault="00E4158D" w:rsidP="00E518D2">
            <w:pPr>
              <w:ind w:left="6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warsztaty rzemieślnicze, stacje obsługi pojazdów, myjnie samochodowe, garaże powyżej dwóch stanowisk </w:t>
            </w:r>
            <w:r w:rsidR="00E159E6"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-garaże do pięciu stanowisk włącznie nie wymagają pozwolenia (art. 55 ustawy Pb)</w:t>
            </w: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E518D2">
              <w:rPr>
                <w:rFonts w:ascii="Arial" w:hAnsi="Arial" w:cs="Arial"/>
                <w:b/>
                <w:sz w:val="20"/>
                <w:szCs w:val="20"/>
              </w:rPr>
              <w:t>XVII</w:t>
            </w:r>
          </w:p>
        </w:tc>
        <w:tc>
          <w:tcPr>
            <w:tcW w:w="3651" w:type="dxa"/>
          </w:tcPr>
          <w:p w:rsidR="00A85D73" w:rsidRPr="00E518D2" w:rsidRDefault="007F24C7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handlu, gastronomii i usług, jak: sklepy, centra handlowe, domy towarowe, hale targowe, restauracje, bary, kasyna, dyskoteki, budynki dworcowe</w:t>
            </w:r>
          </w:p>
        </w:tc>
      </w:tr>
      <w:tr w:rsidR="00A85D73" w:rsidRPr="00216248" w:rsidTr="00F028EC">
        <w:tc>
          <w:tcPr>
            <w:tcW w:w="1073" w:type="dxa"/>
            <w:shd w:val="clear" w:color="auto" w:fill="EEECE1" w:themeFill="background2"/>
          </w:tcPr>
          <w:p w:rsidR="00216248" w:rsidRPr="00E518D2" w:rsidRDefault="00216248" w:rsidP="00E51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A85D73" w:rsidRPr="00E518D2" w:rsidRDefault="00E159E6" w:rsidP="00E51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8D2">
              <w:rPr>
                <w:rFonts w:ascii="Arial" w:hAnsi="Arial" w:cs="Arial"/>
                <w:b/>
                <w:sz w:val="20"/>
                <w:szCs w:val="20"/>
              </w:rPr>
              <w:t>XVIII</w:t>
            </w:r>
          </w:p>
        </w:tc>
        <w:tc>
          <w:tcPr>
            <w:tcW w:w="3367" w:type="dxa"/>
          </w:tcPr>
          <w:tbl>
            <w:tblPr>
              <w:tblW w:w="31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"/>
              <w:gridCol w:w="3119"/>
            </w:tblGrid>
            <w:tr w:rsidR="00E159E6" w:rsidRPr="00E518D2" w:rsidTr="00F028EC">
              <w:trPr>
                <w:tblCellSpacing w:w="0" w:type="dxa"/>
              </w:trPr>
              <w:tc>
                <w:tcPr>
                  <w:tcW w:w="61" w:type="dxa"/>
                  <w:vAlign w:val="center"/>
                  <w:hideMark/>
                </w:tcPr>
                <w:p w:rsidR="00E159E6" w:rsidRPr="00E518D2" w:rsidRDefault="00E159E6" w:rsidP="00E518D2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B05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  <w:hideMark/>
                </w:tcPr>
                <w:p w:rsidR="00E159E6" w:rsidRPr="00E518D2" w:rsidRDefault="00E4158D" w:rsidP="00E518D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B050"/>
                      <w:sz w:val="18"/>
                      <w:szCs w:val="18"/>
                    </w:rPr>
                  </w:pPr>
                  <w:r w:rsidRPr="00E518D2">
                    <w:rPr>
                      <w:rFonts w:ascii="Arial" w:hAnsi="Arial" w:cs="Arial"/>
                      <w:color w:val="008000"/>
                      <w:sz w:val="18"/>
                      <w:szCs w:val="18"/>
                      <w:shd w:val="clear" w:color="auto" w:fill="FFFFFF"/>
                    </w:rPr>
                    <w:t>obiekty magazynowe, jak: budynki składowe, chłodnie, hangary, wiaty, a także budynki kolejowe, jak: nastawnie, podstacje trakcyjne, lokomotywownie, wagonownie,</w:t>
                  </w:r>
                  <w:r w:rsidR="00831394" w:rsidRPr="00E518D2">
                    <w:rPr>
                      <w:rFonts w:ascii="Arial" w:hAnsi="Arial" w:cs="Arial"/>
                      <w:color w:val="008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F028EC" w:rsidRPr="00E518D2">
                    <w:rPr>
                      <w:rFonts w:ascii="Arial" w:hAnsi="Arial" w:cs="Arial"/>
                      <w:color w:val="008000"/>
                      <w:sz w:val="18"/>
                      <w:szCs w:val="18"/>
                      <w:shd w:val="clear" w:color="auto" w:fill="FFFFFF"/>
                    </w:rPr>
                    <w:t xml:space="preserve">strażnice </w:t>
                  </w:r>
                  <w:r w:rsidRPr="00E518D2">
                    <w:rPr>
                      <w:rFonts w:ascii="Arial" w:hAnsi="Arial" w:cs="Arial"/>
                      <w:color w:val="008000"/>
                      <w:sz w:val="18"/>
                      <w:szCs w:val="18"/>
                      <w:shd w:val="clear" w:color="auto" w:fill="FFFFFF"/>
                    </w:rPr>
                    <w:t>przejazdowe, myjnie taboru kolejowego</w:t>
                  </w:r>
                </w:p>
              </w:tc>
            </w:tr>
          </w:tbl>
          <w:p w:rsidR="00A85D73" w:rsidRPr="00E518D2" w:rsidRDefault="00A85D73" w:rsidP="00E518D2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E518D2" w:rsidRDefault="00EF13CA" w:rsidP="00E5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8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E51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E518D2">
              <w:rPr>
                <w:rFonts w:ascii="Arial" w:hAnsi="Arial" w:cs="Arial"/>
                <w:b/>
                <w:sz w:val="20"/>
                <w:szCs w:val="20"/>
              </w:rPr>
              <w:t>XVIII</w:t>
            </w:r>
          </w:p>
        </w:tc>
        <w:tc>
          <w:tcPr>
            <w:tcW w:w="3651" w:type="dxa"/>
          </w:tcPr>
          <w:p w:rsidR="00A85D73" w:rsidRPr="00E518D2" w:rsidRDefault="00E4158D" w:rsidP="00E518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budynki przemysłowe, jak: budynki produkcyjne, służące energetyce, montownie, wytwórnie, rzeźnie</w:t>
            </w:r>
          </w:p>
        </w:tc>
      </w:tr>
      <w:tr w:rsidR="00A85D73" w:rsidRPr="00216248" w:rsidTr="00E518D2">
        <w:tc>
          <w:tcPr>
            <w:tcW w:w="1073" w:type="dxa"/>
            <w:shd w:val="clear" w:color="auto" w:fill="EEECE1" w:themeFill="background2"/>
          </w:tcPr>
          <w:p w:rsidR="00A85D73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216248">
              <w:rPr>
                <w:rFonts w:ascii="Arial" w:hAnsi="Arial" w:cs="Arial"/>
                <w:b/>
                <w:sz w:val="20"/>
                <w:szCs w:val="20"/>
              </w:rPr>
              <w:t>XIX</w:t>
            </w:r>
          </w:p>
        </w:tc>
        <w:tc>
          <w:tcPr>
            <w:tcW w:w="3367" w:type="dxa"/>
          </w:tcPr>
          <w:p w:rsidR="00A85D73" w:rsidRPr="00E518D2" w:rsidRDefault="00E4158D" w:rsidP="00F028EC">
            <w:pPr>
              <w:ind w:left="61"/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zbiorniki przemysłowe, jak: silosy, elewatory, bunkry do magazynowania paliw i gazów oraz innych produktów chemicznych</w:t>
            </w:r>
          </w:p>
        </w:tc>
        <w:tc>
          <w:tcPr>
            <w:tcW w:w="1197" w:type="dxa"/>
            <w:shd w:val="clear" w:color="auto" w:fill="FFFFFF" w:themeFill="background1"/>
          </w:tcPr>
          <w:p w:rsidR="00A85D73" w:rsidRPr="00216248" w:rsidRDefault="00A85D73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A85D73" w:rsidRPr="00E518D2" w:rsidRDefault="00A85D73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5D73" w:rsidRPr="00216248" w:rsidTr="00F028EC">
        <w:tc>
          <w:tcPr>
            <w:tcW w:w="1073" w:type="dxa"/>
            <w:shd w:val="clear" w:color="auto" w:fill="EEECE1" w:themeFill="background2"/>
          </w:tcPr>
          <w:p w:rsidR="00A85D73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216248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3367" w:type="dxa"/>
          </w:tcPr>
          <w:p w:rsidR="00A85D73" w:rsidRPr="00E518D2" w:rsidRDefault="00A85D73" w:rsidP="00216248">
            <w:pPr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A85D73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248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3651" w:type="dxa"/>
          </w:tcPr>
          <w:p w:rsidR="00A85D73" w:rsidRPr="00E518D2" w:rsidRDefault="00E4158D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stacje paliw</w:t>
            </w:r>
          </w:p>
        </w:tc>
      </w:tr>
      <w:tr w:rsidR="00E159E6" w:rsidRPr="00216248" w:rsidTr="00E518D2">
        <w:tc>
          <w:tcPr>
            <w:tcW w:w="1073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216248">
              <w:rPr>
                <w:rFonts w:ascii="Arial" w:hAnsi="Arial" w:cs="Arial"/>
                <w:b/>
                <w:sz w:val="20"/>
                <w:szCs w:val="20"/>
              </w:rPr>
              <w:t>XXI</w:t>
            </w:r>
          </w:p>
        </w:tc>
        <w:tc>
          <w:tcPr>
            <w:tcW w:w="3367" w:type="dxa"/>
          </w:tcPr>
          <w:p w:rsidR="00E159E6" w:rsidRPr="00E518D2" w:rsidRDefault="00E4158D" w:rsidP="00F028EC">
            <w:pPr>
              <w:ind w:left="61"/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obiekty związane z transportem wodnym, jak: porty, przystanie, sztuczne wyspy, baseny, doki, falochrony, nabrzeża, mola, pirsy, </w:t>
            </w: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lastRenderedPageBreak/>
              <w:t>pomosty, pochylnie</w:t>
            </w:r>
          </w:p>
        </w:tc>
        <w:tc>
          <w:tcPr>
            <w:tcW w:w="1197" w:type="dxa"/>
            <w:shd w:val="clear" w:color="auto" w:fill="FFFFFF" w:themeFill="background1"/>
          </w:tcPr>
          <w:p w:rsidR="00E159E6" w:rsidRPr="00216248" w:rsidRDefault="00E159E6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3F3F1"/>
          </w:tcPr>
          <w:p w:rsidR="00E159E6" w:rsidRPr="00E518D2" w:rsidRDefault="00E159E6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59E6" w:rsidRPr="00216248" w:rsidTr="00F028EC">
        <w:tc>
          <w:tcPr>
            <w:tcW w:w="1073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9E6" w:rsidRPr="00216248">
              <w:rPr>
                <w:rFonts w:ascii="Arial" w:hAnsi="Arial" w:cs="Arial"/>
                <w:b/>
                <w:sz w:val="20"/>
                <w:szCs w:val="20"/>
              </w:rPr>
              <w:t>XXII</w:t>
            </w:r>
          </w:p>
        </w:tc>
        <w:tc>
          <w:tcPr>
            <w:tcW w:w="3367" w:type="dxa"/>
          </w:tcPr>
          <w:p w:rsidR="00E159E6" w:rsidRPr="00E518D2" w:rsidRDefault="00E4158D" w:rsidP="00F028EC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place składowe, postojowe, parkingi</w:t>
            </w:r>
          </w:p>
        </w:tc>
        <w:tc>
          <w:tcPr>
            <w:tcW w:w="1197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248">
              <w:rPr>
                <w:rFonts w:ascii="Arial" w:hAnsi="Arial" w:cs="Arial"/>
                <w:b/>
                <w:sz w:val="20"/>
                <w:szCs w:val="20"/>
              </w:rPr>
              <w:t>XXII</w:t>
            </w:r>
          </w:p>
        </w:tc>
        <w:tc>
          <w:tcPr>
            <w:tcW w:w="3651" w:type="dxa"/>
          </w:tcPr>
          <w:p w:rsidR="00E159E6" w:rsidRPr="00E518D2" w:rsidRDefault="00E4158D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składowiska odpadów,</w:t>
            </w:r>
          </w:p>
        </w:tc>
      </w:tr>
      <w:tr w:rsidR="00E159E6" w:rsidRPr="00216248" w:rsidTr="00E518D2">
        <w:tc>
          <w:tcPr>
            <w:tcW w:w="1073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4C7" w:rsidRPr="00216248">
              <w:rPr>
                <w:rFonts w:ascii="Arial" w:hAnsi="Arial" w:cs="Arial"/>
                <w:b/>
                <w:sz w:val="20"/>
                <w:szCs w:val="20"/>
              </w:rPr>
              <w:t>XXIII</w:t>
            </w:r>
          </w:p>
        </w:tc>
        <w:tc>
          <w:tcPr>
            <w:tcW w:w="3367" w:type="dxa"/>
          </w:tcPr>
          <w:p w:rsidR="00E159E6" w:rsidRPr="00E518D2" w:rsidRDefault="00E4158D" w:rsidP="00F028EC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obiekty lotniskowe, jak: pasy startowe, drogi kołowania, płyty lotniskowe, place postojowe </w:t>
            </w:r>
            <w:r w:rsidR="00216248"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                       </w:t>
            </w: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i manewrowe, lądowiska</w:t>
            </w:r>
          </w:p>
        </w:tc>
        <w:tc>
          <w:tcPr>
            <w:tcW w:w="1197" w:type="dxa"/>
            <w:shd w:val="clear" w:color="auto" w:fill="FFFFFF" w:themeFill="background1"/>
          </w:tcPr>
          <w:p w:rsidR="00E159E6" w:rsidRPr="00216248" w:rsidRDefault="00E159E6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E159E6" w:rsidRPr="00E518D2" w:rsidRDefault="00E159E6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59E6" w:rsidRPr="00216248" w:rsidTr="00F028EC">
        <w:tc>
          <w:tcPr>
            <w:tcW w:w="1073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58D" w:rsidRPr="00216248">
              <w:rPr>
                <w:rFonts w:ascii="Arial" w:hAnsi="Arial" w:cs="Arial"/>
                <w:b/>
                <w:sz w:val="20"/>
                <w:szCs w:val="20"/>
              </w:rPr>
              <w:t>XXIV</w:t>
            </w:r>
          </w:p>
        </w:tc>
        <w:tc>
          <w:tcPr>
            <w:tcW w:w="3367" w:type="dxa"/>
          </w:tcPr>
          <w:p w:rsidR="00E159E6" w:rsidRPr="00E518D2" w:rsidRDefault="00E4158D" w:rsidP="00F028EC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stawy rybne</w:t>
            </w:r>
          </w:p>
        </w:tc>
        <w:tc>
          <w:tcPr>
            <w:tcW w:w="1197" w:type="dxa"/>
            <w:shd w:val="clear" w:color="auto" w:fill="EEECE1" w:themeFill="background2"/>
          </w:tcPr>
          <w:p w:rsidR="00E159E6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248">
              <w:rPr>
                <w:rFonts w:ascii="Arial" w:hAnsi="Arial" w:cs="Arial"/>
                <w:b/>
                <w:sz w:val="20"/>
                <w:szCs w:val="20"/>
              </w:rPr>
              <w:t>XXIV</w:t>
            </w:r>
          </w:p>
        </w:tc>
        <w:tc>
          <w:tcPr>
            <w:tcW w:w="3651" w:type="dxa"/>
          </w:tcPr>
          <w:p w:rsidR="00E159E6" w:rsidRPr="00E518D2" w:rsidRDefault="00E4158D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obiekty gospodarki wodnej, jak: zbiorniki wodne i nadpoziomowe, </w:t>
            </w:r>
          </w:p>
        </w:tc>
      </w:tr>
      <w:tr w:rsidR="00E4158D" w:rsidRPr="00216248" w:rsidTr="00E518D2">
        <w:tc>
          <w:tcPr>
            <w:tcW w:w="1073" w:type="dxa"/>
            <w:shd w:val="clear" w:color="auto" w:fill="EEECE1" w:themeFill="background2"/>
          </w:tcPr>
          <w:p w:rsidR="00E4158D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  <w:r w:rsidRPr="0021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58D" w:rsidRPr="00216248">
              <w:rPr>
                <w:rFonts w:ascii="Arial" w:hAnsi="Arial" w:cs="Arial"/>
                <w:b/>
                <w:sz w:val="20"/>
                <w:szCs w:val="20"/>
              </w:rPr>
              <w:t>XXV</w:t>
            </w:r>
          </w:p>
        </w:tc>
        <w:tc>
          <w:tcPr>
            <w:tcW w:w="3367" w:type="dxa"/>
          </w:tcPr>
          <w:p w:rsidR="00E4158D" w:rsidRPr="00E518D2" w:rsidRDefault="00E4158D" w:rsidP="00F028EC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drogi i kolejowe drogi szynowe</w:t>
            </w:r>
          </w:p>
        </w:tc>
        <w:tc>
          <w:tcPr>
            <w:tcW w:w="1197" w:type="dxa"/>
            <w:shd w:val="clear" w:color="auto" w:fill="FFFFFF" w:themeFill="background1"/>
          </w:tcPr>
          <w:p w:rsidR="00E4158D" w:rsidRPr="00216248" w:rsidRDefault="00E4158D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E4158D" w:rsidRPr="00E518D2" w:rsidRDefault="00E4158D" w:rsidP="00216248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E4158D" w:rsidRPr="00216248" w:rsidTr="00E518D2">
        <w:tc>
          <w:tcPr>
            <w:tcW w:w="1073" w:type="dxa"/>
            <w:shd w:val="clear" w:color="auto" w:fill="EEECE1" w:themeFill="background2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E4158D" w:rsidRPr="00216248" w:rsidRDefault="00E4158D" w:rsidP="0021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248">
              <w:rPr>
                <w:rFonts w:ascii="Arial" w:hAnsi="Arial" w:cs="Arial"/>
                <w:b/>
                <w:sz w:val="20"/>
                <w:szCs w:val="20"/>
              </w:rPr>
              <w:t>XXVI</w:t>
            </w:r>
          </w:p>
        </w:tc>
        <w:tc>
          <w:tcPr>
            <w:tcW w:w="3367" w:type="dxa"/>
          </w:tcPr>
          <w:p w:rsidR="00E4158D" w:rsidRPr="00E518D2" w:rsidRDefault="00E4158D" w:rsidP="00E518D2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sieci, jak: elektroenergetyczne, telekomunikacyjne, gazowe, ciepłownicze, wodociągowe, kanalizacyjne oraz rurociągi przesyłowe</w:t>
            </w:r>
          </w:p>
        </w:tc>
        <w:tc>
          <w:tcPr>
            <w:tcW w:w="1197" w:type="dxa"/>
            <w:shd w:val="clear" w:color="auto" w:fill="FFFFFF" w:themeFill="background1"/>
          </w:tcPr>
          <w:p w:rsidR="00E4158D" w:rsidRPr="00216248" w:rsidRDefault="00E4158D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E4158D" w:rsidRPr="00E518D2" w:rsidRDefault="00E4158D" w:rsidP="00216248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E4158D" w:rsidRPr="00216248" w:rsidTr="00F028EC">
        <w:tc>
          <w:tcPr>
            <w:tcW w:w="1073" w:type="dxa"/>
            <w:shd w:val="clear" w:color="auto" w:fill="EEECE1" w:themeFill="background2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E4158D" w:rsidRPr="00216248" w:rsidRDefault="00E4158D" w:rsidP="0021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248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EF13CA" w:rsidRPr="0021624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16248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367" w:type="dxa"/>
          </w:tcPr>
          <w:p w:rsidR="00EF13CA" w:rsidRPr="00E518D2" w:rsidRDefault="00EF13CA" w:rsidP="00E518D2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jazy, wały przeciwpowodziowe, opaski ostrogi brzegowe, rowy melioracyjne</w:t>
            </w:r>
          </w:p>
          <w:p w:rsidR="00EF13CA" w:rsidRPr="00E518D2" w:rsidRDefault="00EF13CA" w:rsidP="00E518D2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</w:p>
          <w:p w:rsidR="00EF13CA" w:rsidRPr="00E518D2" w:rsidRDefault="00EF13CA" w:rsidP="00E518D2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</w:p>
          <w:p w:rsidR="00E4158D" w:rsidRPr="00E518D2" w:rsidRDefault="00E4158D" w:rsidP="00E518D2">
            <w:pPr>
              <w:ind w:left="61"/>
              <w:jc w:val="both"/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216248" w:rsidRPr="00216248" w:rsidRDefault="00216248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E4158D" w:rsidRPr="00216248" w:rsidRDefault="00216248" w:rsidP="0021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248">
              <w:rPr>
                <w:rFonts w:ascii="Arial" w:hAnsi="Arial" w:cs="Arial"/>
                <w:b/>
                <w:sz w:val="20"/>
                <w:szCs w:val="20"/>
              </w:rPr>
              <w:t>XXVII</w:t>
            </w:r>
          </w:p>
        </w:tc>
        <w:tc>
          <w:tcPr>
            <w:tcW w:w="3651" w:type="dxa"/>
          </w:tcPr>
          <w:p w:rsidR="00E4158D" w:rsidRPr="00E518D2" w:rsidRDefault="00EF13CA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budowle hydrotechniczne piętrzące, upustowe i regulacyjne, jak: zapory, progi i stopnie wodne, bramy przeciwpowodziowe, śluzy wałowe, syfony, kanały, śluzy żeglowne, </w:t>
            </w:r>
          </w:p>
        </w:tc>
      </w:tr>
      <w:tr w:rsidR="00EF13CA" w:rsidRPr="00216248" w:rsidTr="00E518D2">
        <w:tc>
          <w:tcPr>
            <w:tcW w:w="1073" w:type="dxa"/>
            <w:shd w:val="clear" w:color="auto" w:fill="FFFFFF" w:themeFill="background1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EF13CA" w:rsidRPr="00E518D2" w:rsidRDefault="00EF13CA" w:rsidP="00216248">
            <w:pPr>
              <w:rPr>
                <w:rFonts w:ascii="Arial" w:hAnsi="Arial" w:cs="Arial"/>
                <w:color w:val="00B05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216248" w:rsidRPr="00216248" w:rsidRDefault="00216248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</w:t>
            </w:r>
          </w:p>
          <w:p w:rsidR="00EF13CA" w:rsidRPr="00216248" w:rsidRDefault="00216248" w:rsidP="0021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248">
              <w:rPr>
                <w:rFonts w:ascii="Arial" w:hAnsi="Arial" w:cs="Arial"/>
                <w:b/>
                <w:sz w:val="20"/>
                <w:szCs w:val="20"/>
              </w:rPr>
              <w:t>XXVIII</w:t>
            </w:r>
          </w:p>
        </w:tc>
        <w:tc>
          <w:tcPr>
            <w:tcW w:w="3651" w:type="dxa"/>
          </w:tcPr>
          <w:p w:rsidR="00EF13CA" w:rsidRPr="00E518D2" w:rsidRDefault="00EF13CA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drogowe i kolejowe obiekty mostowe, jak: mosty, estakady, kładki, przejścia podziemne, wiadukty, przepusty, tunele</w:t>
            </w:r>
          </w:p>
        </w:tc>
      </w:tr>
      <w:tr w:rsidR="00EF13CA" w:rsidRPr="00216248" w:rsidTr="00E518D2">
        <w:tc>
          <w:tcPr>
            <w:tcW w:w="1073" w:type="dxa"/>
            <w:shd w:val="clear" w:color="auto" w:fill="FFFFFF" w:themeFill="background1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EF13CA" w:rsidRPr="00E518D2" w:rsidRDefault="00EF13CA" w:rsidP="00216248">
            <w:pPr>
              <w:rPr>
                <w:rFonts w:ascii="Arial" w:hAnsi="Arial" w:cs="Arial"/>
                <w:color w:val="00B05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shd w:val="clear" w:color="auto" w:fill="EEECE1" w:themeFill="background2"/>
          </w:tcPr>
          <w:p w:rsidR="00EF13CA" w:rsidRPr="00216248" w:rsidRDefault="00216248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Kategoria </w:t>
            </w:r>
            <w:r w:rsidRPr="00216248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XXIX</w:t>
            </w:r>
          </w:p>
        </w:tc>
        <w:tc>
          <w:tcPr>
            <w:tcW w:w="3651" w:type="dxa"/>
          </w:tcPr>
          <w:p w:rsidR="00EF13CA" w:rsidRPr="00E518D2" w:rsidRDefault="00EF13CA" w:rsidP="0021624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wolno stojące kominy i maszty</w:t>
            </w:r>
          </w:p>
        </w:tc>
      </w:tr>
      <w:tr w:rsidR="00EF13CA" w:rsidRPr="00216248" w:rsidTr="00E518D2">
        <w:tc>
          <w:tcPr>
            <w:tcW w:w="1073" w:type="dxa"/>
            <w:shd w:val="clear" w:color="auto" w:fill="EEECE1" w:themeFill="background2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Kategoria </w:t>
            </w:r>
            <w:r w:rsidRPr="00216248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XXX</w:t>
            </w:r>
          </w:p>
        </w:tc>
        <w:tc>
          <w:tcPr>
            <w:tcW w:w="3367" w:type="dxa"/>
          </w:tcPr>
          <w:p w:rsidR="00EF13CA" w:rsidRPr="00E518D2" w:rsidRDefault="00EF13CA" w:rsidP="00F028EC">
            <w:pPr>
              <w:ind w:left="61"/>
              <w:jc w:val="both"/>
              <w:rPr>
                <w:rFonts w:ascii="Arial" w:hAnsi="Arial" w:cs="Arial"/>
                <w:color w:val="00B050"/>
                <w:sz w:val="18"/>
                <w:szCs w:val="18"/>
                <w:shd w:val="clear" w:color="auto" w:fill="FFFFFF"/>
              </w:rPr>
            </w:pP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obiekty służące do korzystania </w:t>
            </w:r>
            <w:r w:rsidR="00216248"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 xml:space="preserve">                  </w:t>
            </w:r>
            <w:r w:rsidRPr="00E518D2">
              <w:rPr>
                <w:rFonts w:ascii="Arial" w:hAnsi="Arial" w:cs="Arial"/>
                <w:color w:val="008000"/>
                <w:sz w:val="18"/>
                <w:szCs w:val="18"/>
                <w:shd w:val="clear" w:color="auto" w:fill="FFFFFF"/>
              </w:rPr>
              <w:t>z zasobów wodnych, jak: ujęcia wód morskich i śródlądowych, budowle zrzutów wód i ścieków, pompownie, stacje strefowe, stacje uzdatniania wody, oczyszczalnie ścieków</w:t>
            </w:r>
          </w:p>
        </w:tc>
        <w:tc>
          <w:tcPr>
            <w:tcW w:w="1197" w:type="dxa"/>
            <w:shd w:val="clear" w:color="auto" w:fill="FFFFFF" w:themeFill="background1"/>
          </w:tcPr>
          <w:p w:rsidR="00EF13CA" w:rsidRPr="00216248" w:rsidRDefault="00EF13CA" w:rsidP="00216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EF13CA" w:rsidRPr="00831394" w:rsidRDefault="00EF13CA" w:rsidP="00216248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513F42" w:rsidRDefault="00513F42">
      <w:pPr>
        <w:rPr>
          <w:rFonts w:ascii="Arial" w:hAnsi="Arial" w:cs="Arial"/>
          <w:sz w:val="20"/>
          <w:szCs w:val="20"/>
        </w:rPr>
      </w:pPr>
    </w:p>
    <w:p w:rsidR="00FD03E7" w:rsidRPr="00831394" w:rsidRDefault="00FD03E7" w:rsidP="00FD03E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Fonts w:ascii="Arial" w:hAnsi="Arial" w:cs="Arial"/>
          <w:sz w:val="22"/>
          <w:szCs w:val="22"/>
        </w:rPr>
        <w:t>Dodatkowo przed przystąpieniem do użytkowania obiektu budowlanego należy uzyskać decyzję o pozwoleniu na użytkowanie, jeżeli:</w:t>
      </w:r>
    </w:p>
    <w:p w:rsidR="00FD03E7" w:rsidRPr="00831394" w:rsidRDefault="00FD03E7" w:rsidP="00FD03E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Fonts w:ascii="Arial" w:hAnsi="Arial" w:cs="Arial"/>
          <w:sz w:val="22"/>
          <w:szCs w:val="22"/>
        </w:rPr>
        <w:t>zachodzą okoliczności, o których mowa w art. 49 ust. 5 albo art. 51 ust. 4 - ustawy Prawo budowlane;</w:t>
      </w:r>
    </w:p>
    <w:p w:rsidR="00FD03E7" w:rsidRPr="00831394" w:rsidRDefault="00FD03E7" w:rsidP="00FD03E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Fonts w:ascii="Arial" w:hAnsi="Arial" w:cs="Arial"/>
          <w:sz w:val="22"/>
          <w:szCs w:val="22"/>
        </w:rPr>
        <w:t>przystąpienie do użytkowania obiektu budowlanego ma nastąpić przed wykonaniem wszystkich robót budowlanych.</w:t>
      </w:r>
    </w:p>
    <w:p w:rsidR="00FD03E7" w:rsidRPr="00831394" w:rsidRDefault="00FD03E7" w:rsidP="00FD03E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Fonts w:ascii="Arial" w:hAnsi="Arial" w:cs="Arial"/>
          <w:sz w:val="22"/>
          <w:szCs w:val="22"/>
        </w:rPr>
        <w:t xml:space="preserve">Inwestor zamiast dokonania zawiadomienia o zakończeniu budowy może wystąpić </w:t>
      </w:r>
      <w:r w:rsidR="00831394">
        <w:rPr>
          <w:rFonts w:ascii="Arial" w:hAnsi="Arial" w:cs="Arial"/>
          <w:sz w:val="22"/>
          <w:szCs w:val="22"/>
        </w:rPr>
        <w:t xml:space="preserve">                         </w:t>
      </w:r>
      <w:r w:rsidRPr="00831394">
        <w:rPr>
          <w:rFonts w:ascii="Arial" w:hAnsi="Arial" w:cs="Arial"/>
          <w:sz w:val="22"/>
          <w:szCs w:val="22"/>
        </w:rPr>
        <w:t xml:space="preserve">z wnioskiem </w:t>
      </w:r>
      <w:r w:rsidR="00AA136B" w:rsidRPr="00831394">
        <w:rPr>
          <w:rFonts w:ascii="Arial" w:hAnsi="Arial" w:cs="Arial"/>
          <w:sz w:val="22"/>
          <w:szCs w:val="22"/>
        </w:rPr>
        <w:t xml:space="preserve"> </w:t>
      </w:r>
      <w:r w:rsidRPr="00831394">
        <w:rPr>
          <w:rFonts w:ascii="Arial" w:hAnsi="Arial" w:cs="Arial"/>
          <w:sz w:val="22"/>
          <w:szCs w:val="22"/>
        </w:rPr>
        <w:t>o wydanie decyzji o pozwoleniu na użytkowanie.</w:t>
      </w:r>
    </w:p>
    <w:p w:rsidR="00FD03E7" w:rsidRPr="00831394" w:rsidRDefault="00FD03E7" w:rsidP="00831394">
      <w:pPr>
        <w:pStyle w:val="Normalny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Style w:val="Pogrubienie"/>
          <w:rFonts w:ascii="Arial" w:hAnsi="Arial" w:cs="Arial"/>
          <w:sz w:val="22"/>
          <w:szCs w:val="22"/>
        </w:rPr>
        <w:t xml:space="preserve">Inwestor, w stosunku do którego nałożono obowiązek uzyskania pozwolenia na użytkowanie obiektu budowlanego, jest obowiązany zawiadomić, zgodnie </w:t>
      </w:r>
      <w:r w:rsidR="00831394">
        <w:rPr>
          <w:rStyle w:val="Pogrubienie"/>
          <w:rFonts w:ascii="Arial" w:hAnsi="Arial" w:cs="Arial"/>
          <w:sz w:val="22"/>
          <w:szCs w:val="22"/>
        </w:rPr>
        <w:t xml:space="preserve">                              </w:t>
      </w:r>
      <w:r w:rsidRPr="00831394">
        <w:rPr>
          <w:rStyle w:val="Pogrubienie"/>
          <w:rFonts w:ascii="Arial" w:hAnsi="Arial" w:cs="Arial"/>
          <w:sz w:val="22"/>
          <w:szCs w:val="22"/>
        </w:rPr>
        <w:t>z właściwością wynikającą              z przepisów szczególnych, organy:</w:t>
      </w:r>
    </w:p>
    <w:p w:rsidR="00FD03E7" w:rsidRPr="00831394" w:rsidRDefault="00FD03E7" w:rsidP="008313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Style w:val="Pogrubienie"/>
          <w:rFonts w:ascii="Arial" w:hAnsi="Arial" w:cs="Arial"/>
          <w:sz w:val="22"/>
          <w:szCs w:val="22"/>
        </w:rPr>
        <w:t>1)    Państwowej Inspekcji Sanitarnej,</w:t>
      </w:r>
    </w:p>
    <w:p w:rsidR="00FD03E7" w:rsidRPr="00831394" w:rsidRDefault="00FD03E7" w:rsidP="00831394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  <w:r w:rsidRPr="00831394">
        <w:rPr>
          <w:rStyle w:val="Pogrubienie"/>
          <w:rFonts w:ascii="Arial" w:hAnsi="Arial" w:cs="Arial"/>
          <w:sz w:val="22"/>
          <w:szCs w:val="22"/>
        </w:rPr>
        <w:t>2)    Państwowej Straży Pożarnej</w:t>
      </w:r>
    </w:p>
    <w:p w:rsidR="00FD03E7" w:rsidRPr="00831394" w:rsidRDefault="00FD03E7" w:rsidP="0083139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Style w:val="Pogrubienie"/>
          <w:rFonts w:ascii="Arial" w:hAnsi="Arial" w:cs="Arial"/>
          <w:sz w:val="22"/>
          <w:szCs w:val="22"/>
        </w:rPr>
        <w:t>- o zakończeniu budowy obiektu budowlanego i zamiarze przystąpienia do jego użytkowania.</w:t>
      </w:r>
      <w:r w:rsidRPr="00831394">
        <w:rPr>
          <w:rFonts w:ascii="Arial" w:hAnsi="Arial" w:cs="Arial"/>
          <w:sz w:val="22"/>
          <w:szCs w:val="22"/>
        </w:rPr>
        <w:t xml:space="preserve"> Organy zajmują stanowisko w sprawie zgodności wykonania obiektu budowlanego z projektem budowlanym.</w:t>
      </w:r>
    </w:p>
    <w:p w:rsidR="00FD03E7" w:rsidRPr="00831394" w:rsidRDefault="00FD03E7" w:rsidP="00831394">
      <w:pPr>
        <w:pStyle w:val="Normalny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31394">
        <w:rPr>
          <w:rFonts w:ascii="Arial" w:hAnsi="Arial" w:cs="Arial"/>
          <w:sz w:val="22"/>
          <w:szCs w:val="22"/>
        </w:rPr>
        <w:t>Przepisy stosuje się również w przypadku, gdy projekt budowlany obiektu budowlanego nieobjętego obowiązkiem uzyskania pozwolenia na użytkowanie wymagał uzgodnienia pod względem ochrony przeciwpożarowej lub wymagań higienicznych i zdrowotnych.</w:t>
      </w:r>
    </w:p>
    <w:p w:rsidR="00FD03E7" w:rsidRPr="00E518D2" w:rsidRDefault="00FD03E7" w:rsidP="00831394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color w:val="FF0000"/>
          <w:sz w:val="22"/>
          <w:szCs w:val="22"/>
        </w:rPr>
      </w:pPr>
      <w:r w:rsidRPr="00E518D2">
        <w:rPr>
          <w:rStyle w:val="Pogrubienie"/>
          <w:rFonts w:ascii="Arial" w:hAnsi="Arial" w:cs="Arial"/>
          <w:color w:val="FF0000"/>
          <w:sz w:val="22"/>
          <w:szCs w:val="22"/>
        </w:rPr>
        <w:t>Niezajęcie stanowiska przez organy, wymienione powyżej, w terminie 14 dni od dnia otrzymania zawiadomienia, traktuje się jak niezgłoszenie sprzeciwu lub uwag</w:t>
      </w:r>
      <w:r w:rsidR="008508DF" w:rsidRPr="00E518D2">
        <w:rPr>
          <w:rStyle w:val="Pogrubienie"/>
          <w:rFonts w:ascii="Arial" w:hAnsi="Arial" w:cs="Arial"/>
          <w:color w:val="FF0000"/>
          <w:sz w:val="22"/>
          <w:szCs w:val="22"/>
        </w:rPr>
        <w:t>.</w:t>
      </w:r>
    </w:p>
    <w:p w:rsidR="008508DF" w:rsidRDefault="008508DF" w:rsidP="00831394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</w:p>
    <w:sectPr w:rsidR="008508DF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0D6"/>
    <w:multiLevelType w:val="hybridMultilevel"/>
    <w:tmpl w:val="778CC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849CC"/>
    <w:multiLevelType w:val="hybridMultilevel"/>
    <w:tmpl w:val="CB0E72E6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07AD38FD"/>
    <w:multiLevelType w:val="hybridMultilevel"/>
    <w:tmpl w:val="0DFE0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5110BD"/>
    <w:multiLevelType w:val="hybridMultilevel"/>
    <w:tmpl w:val="CC8473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0E311C5B"/>
    <w:multiLevelType w:val="multilevel"/>
    <w:tmpl w:val="3062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55C26"/>
    <w:multiLevelType w:val="hybridMultilevel"/>
    <w:tmpl w:val="B3A2F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957FBA"/>
    <w:multiLevelType w:val="hybridMultilevel"/>
    <w:tmpl w:val="623AA6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0F3467"/>
    <w:multiLevelType w:val="hybridMultilevel"/>
    <w:tmpl w:val="3B5A61B6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8">
    <w:nsid w:val="15FB741A"/>
    <w:multiLevelType w:val="hybridMultilevel"/>
    <w:tmpl w:val="C5DA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35061"/>
    <w:multiLevelType w:val="hybridMultilevel"/>
    <w:tmpl w:val="9D1CE502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C558F7"/>
    <w:multiLevelType w:val="hybridMultilevel"/>
    <w:tmpl w:val="9D647CB6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F141D"/>
    <w:multiLevelType w:val="hybridMultilevel"/>
    <w:tmpl w:val="F1446CCA"/>
    <w:lvl w:ilvl="0" w:tplc="F6862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53685A"/>
    <w:multiLevelType w:val="hybridMultilevel"/>
    <w:tmpl w:val="25C6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64CC5"/>
    <w:multiLevelType w:val="hybridMultilevel"/>
    <w:tmpl w:val="51D25A86"/>
    <w:lvl w:ilvl="0" w:tplc="5CC2192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050"/>
    <w:multiLevelType w:val="hybridMultilevel"/>
    <w:tmpl w:val="C140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79FF"/>
    <w:multiLevelType w:val="hybridMultilevel"/>
    <w:tmpl w:val="B88AF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B4A7C"/>
    <w:multiLevelType w:val="hybridMultilevel"/>
    <w:tmpl w:val="0CC424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13A2C80">
      <w:start w:val="1"/>
      <w:numFmt w:val="lowerLetter"/>
      <w:lvlText w:val="%2)"/>
      <w:lvlJc w:val="left"/>
      <w:pPr>
        <w:ind w:left="2037" w:hanging="390"/>
      </w:pPr>
      <w:rPr>
        <w:rFonts w:hint="default"/>
        <w:i/>
        <w:color w:val="FF8C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73F73"/>
    <w:multiLevelType w:val="hybridMultilevel"/>
    <w:tmpl w:val="BF42B8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0CB23AC"/>
    <w:multiLevelType w:val="hybridMultilevel"/>
    <w:tmpl w:val="5394C2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0DF2681"/>
    <w:multiLevelType w:val="multilevel"/>
    <w:tmpl w:val="3582200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3238553E"/>
    <w:multiLevelType w:val="hybridMultilevel"/>
    <w:tmpl w:val="9510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507AE"/>
    <w:multiLevelType w:val="hybridMultilevel"/>
    <w:tmpl w:val="ADCE6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D7192"/>
    <w:multiLevelType w:val="hybridMultilevel"/>
    <w:tmpl w:val="72A6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8001A"/>
    <w:multiLevelType w:val="hybridMultilevel"/>
    <w:tmpl w:val="422AA298"/>
    <w:lvl w:ilvl="0" w:tplc="04150017">
      <w:start w:val="1"/>
      <w:numFmt w:val="lowerLetter"/>
      <w:lvlText w:val="%1)"/>
      <w:lvlJc w:val="left"/>
      <w:pPr>
        <w:ind w:left="3424" w:hanging="360"/>
      </w:pPr>
    </w:lvl>
    <w:lvl w:ilvl="1" w:tplc="04150019" w:tentative="1">
      <w:start w:val="1"/>
      <w:numFmt w:val="lowerLetter"/>
      <w:lvlText w:val="%2."/>
      <w:lvlJc w:val="left"/>
      <w:pPr>
        <w:ind w:left="4144" w:hanging="360"/>
      </w:pPr>
    </w:lvl>
    <w:lvl w:ilvl="2" w:tplc="0415001B" w:tentative="1">
      <w:start w:val="1"/>
      <w:numFmt w:val="lowerRoman"/>
      <w:lvlText w:val="%3."/>
      <w:lvlJc w:val="right"/>
      <w:pPr>
        <w:ind w:left="4864" w:hanging="180"/>
      </w:pPr>
    </w:lvl>
    <w:lvl w:ilvl="3" w:tplc="0415000F" w:tentative="1">
      <w:start w:val="1"/>
      <w:numFmt w:val="decimal"/>
      <w:lvlText w:val="%4."/>
      <w:lvlJc w:val="left"/>
      <w:pPr>
        <w:ind w:left="5584" w:hanging="360"/>
      </w:pPr>
    </w:lvl>
    <w:lvl w:ilvl="4" w:tplc="04150019" w:tentative="1">
      <w:start w:val="1"/>
      <w:numFmt w:val="lowerLetter"/>
      <w:lvlText w:val="%5."/>
      <w:lvlJc w:val="left"/>
      <w:pPr>
        <w:ind w:left="6304" w:hanging="360"/>
      </w:pPr>
    </w:lvl>
    <w:lvl w:ilvl="5" w:tplc="0415001B" w:tentative="1">
      <w:start w:val="1"/>
      <w:numFmt w:val="lowerRoman"/>
      <w:lvlText w:val="%6."/>
      <w:lvlJc w:val="right"/>
      <w:pPr>
        <w:ind w:left="7024" w:hanging="180"/>
      </w:pPr>
    </w:lvl>
    <w:lvl w:ilvl="6" w:tplc="0415000F" w:tentative="1">
      <w:start w:val="1"/>
      <w:numFmt w:val="decimal"/>
      <w:lvlText w:val="%7."/>
      <w:lvlJc w:val="left"/>
      <w:pPr>
        <w:ind w:left="7744" w:hanging="360"/>
      </w:pPr>
    </w:lvl>
    <w:lvl w:ilvl="7" w:tplc="04150019" w:tentative="1">
      <w:start w:val="1"/>
      <w:numFmt w:val="lowerLetter"/>
      <w:lvlText w:val="%8."/>
      <w:lvlJc w:val="left"/>
      <w:pPr>
        <w:ind w:left="8464" w:hanging="360"/>
      </w:pPr>
    </w:lvl>
    <w:lvl w:ilvl="8" w:tplc="0415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24">
    <w:nsid w:val="446B7617"/>
    <w:multiLevelType w:val="hybridMultilevel"/>
    <w:tmpl w:val="886C04A8"/>
    <w:lvl w:ilvl="0" w:tplc="00762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36837"/>
    <w:multiLevelType w:val="hybridMultilevel"/>
    <w:tmpl w:val="845AE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042D33"/>
    <w:multiLevelType w:val="hybridMultilevel"/>
    <w:tmpl w:val="3B50E6E4"/>
    <w:lvl w:ilvl="0" w:tplc="11B26066">
      <w:start w:val="1"/>
      <w:numFmt w:val="lowerLetter"/>
      <w:lvlText w:val="%1)"/>
      <w:lvlJc w:val="left"/>
      <w:pPr>
        <w:ind w:left="1287" w:hanging="360"/>
      </w:pPr>
      <w:rPr>
        <w:i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7406818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0C284E"/>
    <w:multiLevelType w:val="hybridMultilevel"/>
    <w:tmpl w:val="F06E4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A330D7"/>
    <w:multiLevelType w:val="hybridMultilevel"/>
    <w:tmpl w:val="ACBAD5B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9">
    <w:nsid w:val="52BE0DB8"/>
    <w:multiLevelType w:val="hybridMultilevel"/>
    <w:tmpl w:val="E084A8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3C324FE"/>
    <w:multiLevelType w:val="hybridMultilevel"/>
    <w:tmpl w:val="B936D0CE"/>
    <w:lvl w:ilvl="0" w:tplc="04150017">
      <w:start w:val="1"/>
      <w:numFmt w:val="lowerLetter"/>
      <w:lvlText w:val="%1)"/>
      <w:lvlJc w:val="left"/>
      <w:pPr>
        <w:ind w:left="1828" w:hanging="360"/>
      </w:p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1">
    <w:nsid w:val="55951000"/>
    <w:multiLevelType w:val="hybridMultilevel"/>
    <w:tmpl w:val="F202E3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11262A"/>
    <w:multiLevelType w:val="hybridMultilevel"/>
    <w:tmpl w:val="A6AE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B5A47"/>
    <w:multiLevelType w:val="multilevel"/>
    <w:tmpl w:val="398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9475E"/>
    <w:multiLevelType w:val="hybridMultilevel"/>
    <w:tmpl w:val="5FF819F6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812FCC"/>
    <w:multiLevelType w:val="hybridMultilevel"/>
    <w:tmpl w:val="A400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E3D5A"/>
    <w:multiLevelType w:val="hybridMultilevel"/>
    <w:tmpl w:val="CEE014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EDD50DA"/>
    <w:multiLevelType w:val="multilevel"/>
    <w:tmpl w:val="00E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0A7F31"/>
    <w:multiLevelType w:val="hybridMultilevel"/>
    <w:tmpl w:val="9E04A980"/>
    <w:lvl w:ilvl="0" w:tplc="482EA426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>
    <w:nsid w:val="78CC730B"/>
    <w:multiLevelType w:val="multilevel"/>
    <w:tmpl w:val="552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CC2656"/>
    <w:multiLevelType w:val="hybridMultilevel"/>
    <w:tmpl w:val="D0722FDC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7512BF"/>
    <w:multiLevelType w:val="multilevel"/>
    <w:tmpl w:val="9C06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F27B3"/>
    <w:multiLevelType w:val="hybridMultilevel"/>
    <w:tmpl w:val="698CBD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8"/>
  </w:num>
  <w:num w:numId="3">
    <w:abstractNumId w:val="13"/>
  </w:num>
  <w:num w:numId="4">
    <w:abstractNumId w:val="15"/>
  </w:num>
  <w:num w:numId="5">
    <w:abstractNumId w:val="40"/>
  </w:num>
  <w:num w:numId="6">
    <w:abstractNumId w:val="4"/>
  </w:num>
  <w:num w:numId="7">
    <w:abstractNumId w:val="31"/>
  </w:num>
  <w:num w:numId="8">
    <w:abstractNumId w:val="41"/>
  </w:num>
  <w:num w:numId="9">
    <w:abstractNumId w:val="39"/>
  </w:num>
  <w:num w:numId="10">
    <w:abstractNumId w:val="9"/>
  </w:num>
  <w:num w:numId="11">
    <w:abstractNumId w:val="33"/>
  </w:num>
  <w:num w:numId="12">
    <w:abstractNumId w:val="37"/>
  </w:num>
  <w:num w:numId="13">
    <w:abstractNumId w:val="32"/>
  </w:num>
  <w:num w:numId="14">
    <w:abstractNumId w:val="6"/>
  </w:num>
  <w:num w:numId="15">
    <w:abstractNumId w:val="8"/>
  </w:num>
  <w:num w:numId="16">
    <w:abstractNumId w:val="1"/>
  </w:num>
  <w:num w:numId="17">
    <w:abstractNumId w:val="14"/>
  </w:num>
  <w:num w:numId="18">
    <w:abstractNumId w:val="17"/>
  </w:num>
  <w:num w:numId="19">
    <w:abstractNumId w:val="10"/>
  </w:num>
  <w:num w:numId="20">
    <w:abstractNumId w:val="24"/>
  </w:num>
  <w:num w:numId="21">
    <w:abstractNumId w:val="5"/>
  </w:num>
  <w:num w:numId="22">
    <w:abstractNumId w:val="28"/>
  </w:num>
  <w:num w:numId="23">
    <w:abstractNumId w:val="12"/>
  </w:num>
  <w:num w:numId="24">
    <w:abstractNumId w:val="20"/>
  </w:num>
  <w:num w:numId="25">
    <w:abstractNumId w:val="42"/>
  </w:num>
  <w:num w:numId="26">
    <w:abstractNumId w:val="27"/>
  </w:num>
  <w:num w:numId="27">
    <w:abstractNumId w:val="16"/>
  </w:num>
  <w:num w:numId="28">
    <w:abstractNumId w:val="26"/>
  </w:num>
  <w:num w:numId="29">
    <w:abstractNumId w:val="36"/>
  </w:num>
  <w:num w:numId="30">
    <w:abstractNumId w:val="18"/>
  </w:num>
  <w:num w:numId="31">
    <w:abstractNumId w:val="25"/>
  </w:num>
  <w:num w:numId="32">
    <w:abstractNumId w:val="35"/>
  </w:num>
  <w:num w:numId="33">
    <w:abstractNumId w:val="34"/>
  </w:num>
  <w:num w:numId="34">
    <w:abstractNumId w:val="0"/>
  </w:num>
  <w:num w:numId="35">
    <w:abstractNumId w:val="29"/>
  </w:num>
  <w:num w:numId="36">
    <w:abstractNumId w:val="2"/>
  </w:num>
  <w:num w:numId="37">
    <w:abstractNumId w:val="22"/>
  </w:num>
  <w:num w:numId="38">
    <w:abstractNumId w:val="7"/>
  </w:num>
  <w:num w:numId="39">
    <w:abstractNumId w:val="30"/>
  </w:num>
  <w:num w:numId="40">
    <w:abstractNumId w:val="21"/>
  </w:num>
  <w:num w:numId="41">
    <w:abstractNumId w:val="3"/>
  </w:num>
  <w:num w:numId="42">
    <w:abstractNumId w:val="1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BE4"/>
    <w:rsid w:val="00050BE4"/>
    <w:rsid w:val="00051331"/>
    <w:rsid w:val="00077C48"/>
    <w:rsid w:val="00107255"/>
    <w:rsid w:val="00124B49"/>
    <w:rsid w:val="00216248"/>
    <w:rsid w:val="002B3462"/>
    <w:rsid w:val="002E5868"/>
    <w:rsid w:val="0042015C"/>
    <w:rsid w:val="00444E39"/>
    <w:rsid w:val="004F27C1"/>
    <w:rsid w:val="00513F42"/>
    <w:rsid w:val="006A65E7"/>
    <w:rsid w:val="007130BF"/>
    <w:rsid w:val="00746ABC"/>
    <w:rsid w:val="007C7A39"/>
    <w:rsid w:val="007F24C7"/>
    <w:rsid w:val="00815C58"/>
    <w:rsid w:val="00831394"/>
    <w:rsid w:val="00841909"/>
    <w:rsid w:val="008508DF"/>
    <w:rsid w:val="00890F9C"/>
    <w:rsid w:val="008C51A2"/>
    <w:rsid w:val="008F1121"/>
    <w:rsid w:val="0091557A"/>
    <w:rsid w:val="00A2224C"/>
    <w:rsid w:val="00A24653"/>
    <w:rsid w:val="00A85D73"/>
    <w:rsid w:val="00AA136B"/>
    <w:rsid w:val="00AC6FF9"/>
    <w:rsid w:val="00B35BFC"/>
    <w:rsid w:val="00B83D52"/>
    <w:rsid w:val="00C579B2"/>
    <w:rsid w:val="00D14E3C"/>
    <w:rsid w:val="00D22AD9"/>
    <w:rsid w:val="00D96C63"/>
    <w:rsid w:val="00DC4B9D"/>
    <w:rsid w:val="00DD178B"/>
    <w:rsid w:val="00E02EFB"/>
    <w:rsid w:val="00E061BB"/>
    <w:rsid w:val="00E159E6"/>
    <w:rsid w:val="00E4158D"/>
    <w:rsid w:val="00E518D2"/>
    <w:rsid w:val="00EF13CA"/>
    <w:rsid w:val="00F028EC"/>
    <w:rsid w:val="00F81B9E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paragraph" w:styleId="Nagwek2">
    <w:name w:val="heading 2"/>
    <w:basedOn w:val="Normalny"/>
    <w:link w:val="Nagwek2Znak"/>
    <w:uiPriority w:val="9"/>
    <w:qFormat/>
    <w:rsid w:val="0051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table" w:styleId="Tabela-Siatka">
    <w:name w:val="Table Grid"/>
    <w:basedOn w:val="Standardowy"/>
    <w:uiPriority w:val="59"/>
    <w:rsid w:val="0005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E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13F42"/>
    <w:rPr>
      <w:i/>
      <w:iCs/>
    </w:rPr>
  </w:style>
  <w:style w:type="paragraph" w:styleId="Akapitzlist">
    <w:name w:val="List Paragraph"/>
    <w:basedOn w:val="Normalny"/>
    <w:uiPriority w:val="34"/>
    <w:qFormat/>
    <w:rsid w:val="00513F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1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F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8BC1-7317-478E-945C-16144949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Ksiegowa</cp:lastModifiedBy>
  <cp:revision>7</cp:revision>
  <dcterms:created xsi:type="dcterms:W3CDTF">2021-06-26T19:25:00Z</dcterms:created>
  <dcterms:modified xsi:type="dcterms:W3CDTF">2021-06-30T13:14:00Z</dcterms:modified>
</cp:coreProperties>
</file>